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402-ПП/3794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 РЕЗУЛЬТАТАХ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Дата подписания протокола:</w:t>
      </w:r>
      <w:r>
        <w:rPr>
          <w:rFonts w:ascii="Times New Roman" w:hAnsi="Times New Roman"/>
          <w:b/>
          <w:i/>
          <w:color w:val="000000"/>
        </w:rPr>
        <w:t xml:space="preserve"> "09" июля 2026 г.</w:t>
      </w:r>
    </w:p>
    <w:p>
      <w:pPr>
        <w:spacing w:before="269" w:after="269"/>
        <w:ind w:left="120"/>
        <w:jc w:val="left"/>
      </w:pP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402-ПП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 xml:space="preserve"> 3794 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1139, местонахождение: Челябинская обл., г.Верхнеуральск, ул.Еремина, д.1а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 xml:space="preserve"> Стол офисный, инвентарный номер: 1139, местонахождение: Челябинская обл., г.Верхнеуральск, ул.Еремина, д.1а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  </w:t>
      </w:r>
      <w:r>
        <w:rPr>
          <w:rFonts w:ascii="Times New Roman" w:hAnsi="Times New Roman"/>
          <w:b/>
          <w:i/>
          <w:color w:val="000000"/>
        </w:rPr>
        <w:t xml:space="preserve"> 305.00 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График снижения цены</w:t>
      </w:r>
      <w:r>
        <w:rPr>
          <w:rFonts w:ascii="Times New Roman" w:hAnsi="Times New Roman"/>
          <w:b w:val="false"/>
          <w:i w:val="false"/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805"/>
        <w:gridCol w:w="5552"/>
        <w:gridCol w:w="5553"/>
        <w:gridCol w:w="1724"/>
      </w:tblGrid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№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начала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Дата окончания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04.05.2026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305.0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07.05.2026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274.50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244.00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213.50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183.00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152.50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122.00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25.05.2026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91.50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28.05.2026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30.05.2026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61.00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31.05.2026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30.50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27.45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24.40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13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09.06.2026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11.06.2026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21.35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14.06.2026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18.30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15.25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16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12.20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17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23.06.2026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9.15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18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24.06.2026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26.06.2026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6.10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19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27.06.2026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29.06.2026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3.05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20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30.06.2026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02.07.2026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2.13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21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03.07.2026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05.07.2026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1.21</w:t>
            </w:r>
          </w:p>
        </w:tc>
      </w:tr>
      <w:tr>
        <w:trPr>
          <w:trHeight w:val="120" w:hRule="atLeast"/>
        </w:trPr>
        <w:tc>
          <w:tcPr>
            <w:tcW w:w="805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22</w:t>
            </w:r>
          </w:p>
        </w:tc>
        <w:tc>
          <w:tcPr>
            <w:tcW w:w="5552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06.07.2026 09:00:00.000</w:t>
            </w:r>
          </w:p>
        </w:tc>
        <w:tc>
          <w:tcPr>
            <w:tcW w:w="5553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08.07.2026 18:00:00.000</w:t>
            </w:r>
          </w:p>
        </w:tc>
        <w:tc>
          <w:tcPr>
            <w:tcW w:w="172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0.29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В соответствии с протоколом № 402-ПП/3794 от "09" июля 2026 г. об определении участников торгов посредством публичного предложения участниками торгов являются следующие лица (далее – Участники торгов):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Заявка принята: "06" июля 2026 г., время: 15:02:30.386; 
 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Участниками торгов представлены следующие предложения о цене имущества, составляющего Лот: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tbl>
      <w:tblPr>
        <w:tblW w:w="0" w:type="auto"/>
        <w:tblCellSpacing w:w="0" w:type="auto"/>
        <w:tblInd w:w="115" w:type="dxa"/>
        <w:tblBorders>
          <w:top w:val="single" w:color="000000" w:sz="8"/>
          <w:left w:val="single" w:color="000000" w:sz="8"/>
          <w:bottom w:val="single" w:color="000000" w:sz="8"/>
          <w:right w:val="single" w:color="000000" w:sz="8"/>
          <w:insideH w:val="none"/>
          <w:insideV w:val="none"/>
        </w:tblBorders>
      </w:tblPr>
      <w:tblGrid>
        <w:gridCol w:w="10334"/>
        <w:gridCol w:w="2270"/>
        <w:gridCol w:w="1030"/>
      </w:tblGrid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Время подачи заявки на участие в торгах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Цена предложения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shd w:fill="cccc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269" w:after="269"/>
              <w:ind w:left="177"/>
              <w:jc w:val="center"/>
            </w:pPr>
            <w:r>
              <w:rPr>
                <w:rFonts w:ascii="Times New Roman" w:hAnsi="Times New Roman"/>
                <w:b/>
                <w:i w:val="false"/>
                <w:color w:val="000000"/>
              </w:rPr>
              <w:t>Участник</w:t>
            </w:r>
          </w:p>
        </w:tc>
      </w:tr>
      <w:tr>
        <w:trPr>
          <w:trHeight w:val="120" w:hRule="atLeast"/>
        </w:trPr>
        <w:tc>
          <w:tcPr>
            <w:tcW w:w="10334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"06" июля 2026 15:02:30.386</w:t>
            </w:r>
          </w:p>
        </w:tc>
        <w:tc>
          <w:tcPr>
            <w:tcW w:w="227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0,29</w:t>
            </w:r>
          </w:p>
        </w:tc>
        <w:tc>
          <w:tcPr>
            <w:tcW w:w="1030" w:type="dxa"/>
            <w:tcBorders>
              <w:top w:val="single" w:color="000000" w:sz="8"/>
              <w:left w:val="single" w:color="000000" w:sz="8"/>
              <w:bottom w:val="single" w:color="000000" w:sz="8"/>
              <w:right w:val="single" w:color="000000" w:sz="8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</w:rPr>
              <w:t>Шматков Антон Дмитриевич</w:t>
            </w:r>
          </w:p>
        </w:tc>
      </w:tr>
    </w:tbl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Победителем торгов посредством публичного предложения признается участник торгов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, который представил заявку на участие в торгах, содержащую предложение о цене приобретения имущества, составляющего Лот, не ниже начальной цены продажи Лота, установленной для периода №22, в размере </w:t>
      </w:r>
      <w:r>
        <w:rPr>
          <w:rFonts w:ascii="Times New Roman" w:hAnsi="Times New Roman"/>
          <w:b/>
          <w:i/>
          <w:color w:val="000000"/>
        </w:rPr>
        <w:t xml:space="preserve">0.29 </w:t>
      </w:r>
      <w:r>
        <w:rPr>
          <w:rFonts w:ascii="Times New Roman" w:hAnsi="Times New Roman"/>
          <w:b w:val="false"/>
          <w:i w:val="false"/>
          <w:color w:val="000000"/>
        </w:rPr>
        <w:t>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Соответствующий период Графика снижения цены: период № </w:t>
      </w:r>
      <w:r>
        <w:rPr>
          <w:rFonts w:ascii="Times New Roman" w:hAnsi="Times New Roman"/>
          <w:b/>
          <w:i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– </w:t>
      </w:r>
      <w:r>
        <w:rPr>
          <w:rFonts w:ascii="Times New Roman" w:hAnsi="Times New Roman"/>
          <w:b/>
          <w:i/>
          <w:color w:val="000000"/>
        </w:rPr>
        <w:t>06.07.2026 09:00:00.000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/>
          <w:color w:val="000000"/>
        </w:rPr>
        <w:t>08.07.2026 18:00:00.000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– </w:t>
      </w:r>
      <w:r>
        <w:rPr>
          <w:rFonts w:ascii="Times New Roman" w:hAnsi="Times New Roman"/>
          <w:b/>
          <w:i/>
          <w:color w:val="000000"/>
        </w:rPr>
        <w:t>0.29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срок заключения договора купли-продажи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 xml:space="preserve"> В течение 5 (пяти) дней с даты подписания организатором торгов протокола о результатах проведения торгов конкурсный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В случае отказа или уклонения победителя торгов от подписания договора купли-продажи в течение 5 (пяти) дней с даты получения указанного предложения конкурсного управляющего победитель торгов теряет право на приобретение имущества, конкурсный управляющий вправе предложить заключить договор купли-продажи имущества участнику торгов, которым предложена наиболее высокая цена имущества по сравнению с ценой, предложенной другими участниками торгов, за исключением победителя торгов. Указанное лицо рассматривает поступившее от конкурсного управляющего предложение о заключении договора купли-продажи имущества в течение 5 (пяти) дней с даты получения указанного предложения. В случае отказа или уклонения указанного лица от заключения договора купли-продажи имущества конкурсный управляющий предлагает заключить договор купли-продажи имущества участнику торгов, предложившему наиболее высокую цену имущества после участников торгов, отказавшихся от заключения договора купли-продажи имущества.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Сроки платежей, реквизиты счетов, на которые вносятся платежи: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 Оплата приобретенного имущества производится в течение 5 (пяти) дней после заключения договора купли-продажи по реквизитам ПАО «Челябэнергосбыт» (ИНН 7451213318, КПП 745101001): р/с 40702810709280004532, в Филиале Банка ВТБ (ПАО) в г. Екатеринбурге, к/с 30101810400000000952, БИК 046577952.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